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D81729" w:rsidRPr="00D81729" w:rsidRDefault="00D8172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ПРИКАЗ</w:t>
      </w: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81729">
        <w:rPr>
          <w:rFonts w:ascii="Times New Roman" w:hAnsi="Times New Roman" w:cs="Times New Roman"/>
          <w:sz w:val="24"/>
          <w:szCs w:val="24"/>
        </w:rPr>
        <w:t>от 23 июня 2025 г. N 76н</w:t>
      </w:r>
    </w:p>
    <w:bookmarkEnd w:id="0"/>
    <w:p w:rsidR="00D81729" w:rsidRPr="00D81729" w:rsidRDefault="00D8172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ФОРМИРОВАНИЯ И ВЕДЕНИЯ КЛАССИФИКАТОРА ПРИЗНАКОВ ФИНАНСОВЫХ</w:t>
      </w: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НАРУШЕНИЙ УЧАСТНИКОВ КАЗНАЧЕЙСКОГО СОПРОВОЖДЕНИЯ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пунктом 13 статьи 242.13-1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в целях проведения казначейского мониторинга в системе казначейских платежей приказываю: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32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формирования и ведения классификатора признаков финансовых нарушений участников казначейского сопровождения.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5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1 декабря 2021 г. N 203н "Об утверждении Порядка формирования и ведения классификатора признаков финансовых нарушений участников казначейского сопровождения" (зарегистрирован Министерством юстиции Российской Федерации 29 декабря 2021 г., регистрационный N 66667);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7 декабря 2022 г. N 185н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21 марта 2023 г., регистрационный N 72650);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21 марта 2024 г. N 28н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27 июня 2024 г., регистрационный N 78689).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Министр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А.Г.СИЛУАНОВ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Утвержден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приказом Министерства финансов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от 23 июня 2025 г. N 76н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2"/>
      <w:bookmarkEnd w:id="1"/>
      <w:r w:rsidRPr="00D81729">
        <w:rPr>
          <w:rFonts w:ascii="Times New Roman" w:hAnsi="Times New Roman" w:cs="Times New Roman"/>
          <w:sz w:val="24"/>
          <w:szCs w:val="24"/>
        </w:rPr>
        <w:t>ПОРЯДОК</w:t>
      </w: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ФОРМИРОВАНИЯ И ВЕДЕНИЯ КЛАССИФИКАТОРА ПРИЗНАКОВ ФИНАНСОВЫХ</w:t>
      </w: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НАРУШЕНИЙ УЧАСТНИКОВ КАЗНАЧЕЙСКОГО СОПРОВОЖДЕНИЯ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правила формирования и ведения классификатора признаков финансовых нарушений участников казначейского сопровождения при открытии участнику казначейского сопровождения лицевого счета, определенного </w:t>
      </w:r>
      <w:hyperlink r:id="rId8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пунктом 7.1 статьи 220.1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соответственно - Порядок, лицевой счет, Бюджетный кодекс), и осуществлении операций на указанном лицевом счете, в целях проведения казначейского мониторинга в системе казначейских платежей, предусмотренного </w:t>
      </w:r>
      <w:hyperlink r:id="rId9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статьей 242.13-1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Бюджетного кодекса.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2. Формирование и ведение классификатора признаков финансовых нарушений участников казначейского сопровождения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 &lt;1&gt;.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&lt;1&gt; </w:t>
      </w:r>
      <w:hyperlink r:id="rId10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3. Классификатор признаков финансовых нарушений участников казначейского сопровождения формируется и ведется в разрезе разделов "Раздел 1. Открытие лицевого счета участника казначейского сопровождения" и "Раздел 2. Проведение операций на лицевом счете участника казначейского сопровождения" (далее - разделы 1 и 2).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4. В разделы 1 и 2 включается следующая информация: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а) наименование признака, включенного в классификатор признаков финансовых нарушений участников казначейского сопровождения (далее - признаки финансовых нарушений), соответствующее наименованию признака финансового нарушения, приведенному в </w:t>
      </w:r>
      <w:hyperlink w:anchor="P74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приложении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1 и 2 разряды - код раздела классификатора признаков финансовых нарушений участников казначейского сопровождения;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3, 4 и 5 разряды - порядковый номер признака финансового нарушения в разделе классификатора признаков финансовых нарушений участников казначейского </w:t>
      </w:r>
      <w:r w:rsidRPr="00D81729">
        <w:rPr>
          <w:rFonts w:ascii="Times New Roman" w:hAnsi="Times New Roman" w:cs="Times New Roman"/>
          <w:sz w:val="24"/>
          <w:szCs w:val="24"/>
        </w:rPr>
        <w:lastRenderedPageBreak/>
        <w:t>сопровождения;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б) федеральный орган исполнительной власти, ответственный за предоставление информации, указанный в </w:t>
      </w:r>
      <w:hyperlink r:id="rId11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пункте 15 статьи 242.13-1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Бюджетного кодекса;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в) меры реагирования &lt;2&gt;, применяемые территориальным органом Федерального казначейства в соответствии с </w:t>
      </w:r>
      <w:hyperlink r:id="rId12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пунктом 3 статьи 242.13-1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Бюджетного кодекса по соответствующему признаку финансового нарушения, приведенному в </w:t>
      </w:r>
      <w:hyperlink w:anchor="P74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приложении к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настоящему Порядку;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&lt;2&gt; </w:t>
      </w:r>
      <w:hyperlink r:id="rId13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 декабря 2021 г. N 2483 "Об утверждении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сопровождения".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г) наименования признаков финансовых нарушений в соответствии с кодами рисков, имеющих значения "1" - "3", где: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код риска "1" - </w:t>
      </w:r>
      <w:proofErr w:type="spellStart"/>
      <w:r w:rsidRPr="00D81729">
        <w:rPr>
          <w:rFonts w:ascii="Times New Roman" w:hAnsi="Times New Roman" w:cs="Times New Roman"/>
          <w:sz w:val="24"/>
          <w:szCs w:val="24"/>
        </w:rPr>
        <w:t>недостижение</w:t>
      </w:r>
      <w:proofErr w:type="spellEnd"/>
      <w:r w:rsidRPr="00D81729">
        <w:rPr>
          <w:rFonts w:ascii="Times New Roman" w:hAnsi="Times New Roman" w:cs="Times New Roman"/>
          <w:sz w:val="24"/>
          <w:szCs w:val="24"/>
        </w:rPr>
        <w:t xml:space="preserve"> результата предоставления субсидии (неисполнение или ненадлежащее исполнение контракта);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код риска "2" - образование неиспользованных остатков субсидии (лимитов бюджетных обязательств);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код риска "3" - принятие обязательств сверх лимитов бюджетных обязательств.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5. Ведение классификатора признаков финансовых нарушений участников казначейского сопровождения осуществляется путем внесения изменений в него на основании предложений, поступивших в Федеральное казначейство,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&lt;3&gt;.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 xml:space="preserve">&lt;3&gt; </w:t>
      </w:r>
      <w:hyperlink r:id="rId14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11 декабря 2021 г. N 2261 "О случаях и порядке обмена информацией между Федеральным казначейством и органами, указанными в пункте 15 статьи 242.13-1 Бюджетного кодекса Российской Федерации".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6. При включении в классификатор признаков финансовых нарушений участников казначейского сопровождения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из классификатора признаков финансовых нарушений участников казначейского сопровождения.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Приложение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к Порядку формирования и ведения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классификатора признаков финансовых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lastRenderedPageBreak/>
        <w:t>нарушений участников казначейского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сопровождения, утвержденному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приказом Министерства финансов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81729" w:rsidRPr="00D81729" w:rsidRDefault="00D817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от 23 июня 2025 г. N 76н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4"/>
      <w:bookmarkEnd w:id="2"/>
      <w:r w:rsidRPr="00D81729">
        <w:rPr>
          <w:rFonts w:ascii="Times New Roman" w:hAnsi="Times New Roman" w:cs="Times New Roman"/>
          <w:sz w:val="24"/>
          <w:szCs w:val="24"/>
        </w:rPr>
        <w:t>ПРИЗНАКИ</w:t>
      </w:r>
    </w:p>
    <w:p w:rsidR="00D81729" w:rsidRPr="00D81729" w:rsidRDefault="00D817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ФИНАНСОВЫХ НАРУШЕНИЙ УЧАСТНИКОВ КАЗНАЧЕЙСКОГО СОПРОВОЖДЕНИЯ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Наименование признака финансового нарушения</w:t>
            </w:r>
          </w:p>
        </w:tc>
      </w:tr>
      <w:tr w:rsidR="00D81729" w:rsidRPr="00D81729">
        <w:tc>
          <w:tcPr>
            <w:tcW w:w="9071" w:type="dxa"/>
            <w:gridSpan w:val="2"/>
          </w:tcPr>
          <w:p w:rsidR="00D81729" w:rsidRPr="00D81729" w:rsidRDefault="00D8172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I. Предупреждение (информирование) о признаках финансовых</w:t>
            </w:r>
          </w:p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нарушений участников казначейского сопровождения</w:t>
            </w:r>
          </w:p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при открытии лицевых счетов участникам казначейского</w:t>
            </w:r>
          </w:p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сопровождения или при осуществлении операций на лицевых</w:t>
            </w:r>
          </w:p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счетах участников казначейского сопровождения </w:t>
            </w:r>
            <w:hyperlink w:anchor="P126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в ЕГРЮЛ информации о реорганизации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реестре дисквалифицированных лиц </w:t>
            </w:r>
            <w:hyperlink w:anchor="P127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сведений о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 </w:t>
            </w:r>
            <w:hyperlink w:anchor="P128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</w:t>
            </w:r>
            <w:r w:rsidRPr="00D81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реестре недобросовестных поставщиков (подрядчиков, исполнителей) </w:t>
            </w:r>
            <w:hyperlink w:anchor="P129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участнике казначейского сопровождения или юридическом лице, индивидуальном предпринимателе, физическом лице - производителе товаров, работ, услуг, получающем денежные средства от указанного участника казначейского сопровождения по контракту (договору)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информации об отнесении Центральным банком Российской Федерации юридического лица (за исключением кредитных организаций, филиалов иностранных банков,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или получателем денежных средств от участника казначейского сопровождения, к группе высокой степени (уровня) риска совершения подозрительных операций </w:t>
            </w:r>
            <w:hyperlink w:anchor="P130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информации о регистрации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на территориях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 </w:t>
            </w:r>
            <w:hyperlink w:anchor="P131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единой информационной системе в сфере закупок </w:t>
            </w:r>
            <w:hyperlink w:anchor="P132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&lt;7&gt;</w:t>
              </w:r>
            </w:hyperlink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привлечении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к административной ответственности за совершение административного правонарушения, предусмотренного </w:t>
            </w:r>
            <w:hyperlink r:id="rId15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 19.28</w:t>
              </w:r>
            </w:hyperlink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в течение двух лет до дня подачи документов на открытие лицевого счета (проведения операции на указанном лицевом счете)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в ЕГРЮЛ информации о недостоверности сведений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</w:t>
            </w:r>
          </w:p>
        </w:tc>
      </w:tr>
      <w:tr w:rsidR="00D81729" w:rsidRPr="00D81729">
        <w:tc>
          <w:tcPr>
            <w:tcW w:w="9071" w:type="dxa"/>
            <w:gridSpan w:val="2"/>
          </w:tcPr>
          <w:p w:rsidR="00D81729" w:rsidRPr="00D81729" w:rsidRDefault="00D8172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II. Приостановление операций на лицевом счете участника</w:t>
            </w:r>
          </w:p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казначейского сопровождения </w:t>
            </w:r>
            <w:hyperlink w:anchor="P133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&lt;8&gt;</w:t>
              </w:r>
            </w:hyperlink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информации об исключении из ЕГРЮЛ (ЕГРИП) юридического лица (индивидуального предпринимателя) - участника казначейского сопровождения или юридического лица, индивидуального предпринимателя, получающих денежные средства от указанного участника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юридического лица или гражданина банкротом и решения о введении реализации имущества гражданина - участника казначейского сопровождения или продажи имущества юридического лица, индивидуального предпринимателя - производителя товаров, работ, услуг, получающего денежные средства от указанного участника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</w:t>
            </w:r>
            <w:r w:rsidRPr="00D81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D81729" w:rsidRPr="00D81729">
        <w:tc>
          <w:tcPr>
            <w:tcW w:w="567" w:type="dxa"/>
          </w:tcPr>
          <w:p w:rsidR="00D81729" w:rsidRPr="00D81729" w:rsidRDefault="00D817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4" w:type="dxa"/>
          </w:tcPr>
          <w:p w:rsidR="00D81729" w:rsidRPr="00D81729" w:rsidRDefault="00D817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72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информации о регистрации юридического лица, получающего денежные средства от участника казначейского сопровождения,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</w:t>
            </w:r>
            <w:hyperlink w:anchor="P134">
              <w:r w:rsidRPr="00D8172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&lt;9&gt;</w:t>
              </w:r>
            </w:hyperlink>
          </w:p>
        </w:tc>
      </w:tr>
    </w:tbl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72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26"/>
      <w:bookmarkEnd w:id="3"/>
      <w:r w:rsidRPr="00D81729">
        <w:rPr>
          <w:rFonts w:ascii="Times New Roman" w:hAnsi="Times New Roman" w:cs="Times New Roman"/>
          <w:sz w:val="24"/>
          <w:szCs w:val="24"/>
        </w:rPr>
        <w:t xml:space="preserve">&lt;1&gt; </w:t>
      </w:r>
      <w:hyperlink r:id="rId16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Пункт 18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7"/>
      <w:bookmarkEnd w:id="4"/>
      <w:r w:rsidRPr="00D81729">
        <w:rPr>
          <w:rFonts w:ascii="Times New Roman" w:hAnsi="Times New Roman" w:cs="Times New Roman"/>
          <w:sz w:val="24"/>
          <w:szCs w:val="24"/>
        </w:rPr>
        <w:t xml:space="preserve">&lt;2&gt; </w:t>
      </w:r>
      <w:hyperlink r:id="rId17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Часть 3 статьи 32.11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28"/>
      <w:bookmarkEnd w:id="5"/>
      <w:r w:rsidRPr="00D81729">
        <w:rPr>
          <w:rFonts w:ascii="Times New Roman" w:hAnsi="Times New Roman" w:cs="Times New Roman"/>
          <w:sz w:val="24"/>
          <w:szCs w:val="24"/>
        </w:rPr>
        <w:t xml:space="preserve">&lt;3&gt; </w:t>
      </w:r>
      <w:hyperlink r:id="rId18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Федеральной службы по финансовому мониторингу от 10 ноября 2011 г. N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Министерством юстиции Российской Федерации 13 декабря 2011 г., регистрационный N 22587).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29"/>
      <w:bookmarkEnd w:id="6"/>
      <w:r w:rsidRPr="00D81729">
        <w:rPr>
          <w:rFonts w:ascii="Times New Roman" w:hAnsi="Times New Roman" w:cs="Times New Roman"/>
          <w:sz w:val="24"/>
          <w:szCs w:val="24"/>
        </w:rPr>
        <w:t xml:space="preserve">&lt;4&gt; </w:t>
      </w:r>
      <w:hyperlink r:id="rId19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30 июня 2021 г. N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0"/>
      <w:bookmarkEnd w:id="7"/>
      <w:r w:rsidRPr="00D81729">
        <w:rPr>
          <w:rFonts w:ascii="Times New Roman" w:hAnsi="Times New Roman" w:cs="Times New Roman"/>
          <w:sz w:val="24"/>
          <w:szCs w:val="24"/>
        </w:rPr>
        <w:t xml:space="preserve">&lt;5&gt; </w:t>
      </w:r>
      <w:hyperlink r:id="rId20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Статья 9.1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Федерального закона от 10 июля 2002 г. N 86-ФЗ "О Центральном банке Российской Федерации (Банке России)".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31"/>
      <w:bookmarkEnd w:id="8"/>
      <w:r w:rsidRPr="00D81729">
        <w:rPr>
          <w:rFonts w:ascii="Times New Roman" w:hAnsi="Times New Roman" w:cs="Times New Roman"/>
          <w:sz w:val="24"/>
          <w:szCs w:val="24"/>
        </w:rPr>
        <w:lastRenderedPageBreak/>
        <w:t xml:space="preserve">&lt;6&gt; </w:t>
      </w:r>
      <w:hyperlink r:id="rId21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Российской Федерации от 5 марта 2022 г. N 430-р.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32"/>
      <w:bookmarkEnd w:id="9"/>
      <w:r w:rsidRPr="00D81729">
        <w:rPr>
          <w:rFonts w:ascii="Times New Roman" w:hAnsi="Times New Roman" w:cs="Times New Roman"/>
          <w:sz w:val="24"/>
          <w:szCs w:val="24"/>
        </w:rPr>
        <w:t xml:space="preserve">&lt;7&gt; </w:t>
      </w:r>
      <w:hyperlink r:id="rId22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33"/>
      <w:bookmarkEnd w:id="10"/>
      <w:r w:rsidRPr="00D81729">
        <w:rPr>
          <w:rFonts w:ascii="Times New Roman" w:hAnsi="Times New Roman" w:cs="Times New Roman"/>
          <w:sz w:val="24"/>
          <w:szCs w:val="24"/>
        </w:rPr>
        <w:t xml:space="preserve">&lt;8&gt; </w:t>
      </w:r>
      <w:hyperlink r:id="rId23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Пункт 19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D81729" w:rsidRPr="00D81729" w:rsidRDefault="00D81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34"/>
      <w:bookmarkEnd w:id="11"/>
      <w:r w:rsidRPr="00D81729">
        <w:rPr>
          <w:rFonts w:ascii="Times New Roman" w:hAnsi="Times New Roman" w:cs="Times New Roman"/>
          <w:sz w:val="24"/>
          <w:szCs w:val="24"/>
        </w:rPr>
        <w:t xml:space="preserve">&lt;9&gt; </w:t>
      </w:r>
      <w:hyperlink r:id="rId24">
        <w:r w:rsidRPr="00D81729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D81729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5 июня 2023 г. N 86н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15 июня 2023 г., регистрационный N 73846).</w:t>
      </w: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729" w:rsidRPr="00D81729" w:rsidRDefault="00D8172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32163C" w:rsidRPr="00D81729" w:rsidRDefault="0032163C">
      <w:pPr>
        <w:rPr>
          <w:rFonts w:ascii="Times New Roman" w:hAnsi="Times New Roman" w:cs="Times New Roman"/>
          <w:sz w:val="24"/>
          <w:szCs w:val="24"/>
        </w:rPr>
      </w:pPr>
    </w:p>
    <w:sectPr w:rsidR="0032163C" w:rsidRPr="00D81729" w:rsidSect="00A35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729"/>
    <w:rsid w:val="0032163C"/>
    <w:rsid w:val="00D8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A087"/>
  <w15:chartTrackingRefBased/>
  <w15:docId w15:val="{603EFF50-D8D0-4439-9920-1B1793A2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72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8172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8172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710&amp;dst=6641" TargetMode="External"/><Relationship Id="rId13" Type="http://schemas.openxmlformats.org/officeDocument/2006/relationships/hyperlink" Target="https://login.consultant.ru/link/?req=doc&amp;base=LAW&amp;n=507498" TargetMode="External"/><Relationship Id="rId18" Type="http://schemas.openxmlformats.org/officeDocument/2006/relationships/hyperlink" Target="https://login.consultant.ru/link/?req=doc&amp;base=LAW&amp;n=123399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30227&amp;dst=100008" TargetMode="External"/><Relationship Id="rId7" Type="http://schemas.openxmlformats.org/officeDocument/2006/relationships/hyperlink" Target="https://login.consultant.ru/link/?req=doc&amp;base=LAW&amp;n=479668" TargetMode="External"/><Relationship Id="rId12" Type="http://schemas.openxmlformats.org/officeDocument/2006/relationships/hyperlink" Target="https://login.consultant.ru/link/?req=doc&amp;base=LAW&amp;n=495710&amp;dst=6681" TargetMode="External"/><Relationship Id="rId17" Type="http://schemas.openxmlformats.org/officeDocument/2006/relationships/hyperlink" Target="https://login.consultant.ru/link/?req=doc&amp;base=LAW&amp;n=523865&amp;dst=406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7498&amp;dst=100049" TargetMode="External"/><Relationship Id="rId20" Type="http://schemas.openxmlformats.org/officeDocument/2006/relationships/hyperlink" Target="https://login.consultant.ru/link/?req=doc&amp;base=LAW&amp;n=523566&amp;dst=108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2702" TargetMode="External"/><Relationship Id="rId11" Type="http://schemas.openxmlformats.org/officeDocument/2006/relationships/hyperlink" Target="https://login.consultant.ru/link/?req=doc&amp;base=LAW&amp;n=495710&amp;dst=7870" TargetMode="External"/><Relationship Id="rId24" Type="http://schemas.openxmlformats.org/officeDocument/2006/relationships/hyperlink" Target="https://login.consultant.ru/link/?req=doc&amp;base=LAW&amp;n=523533" TargetMode="External"/><Relationship Id="rId5" Type="http://schemas.openxmlformats.org/officeDocument/2006/relationships/hyperlink" Target="https://login.consultant.ru/link/?req=doc&amp;base=LAW&amp;n=479741" TargetMode="External"/><Relationship Id="rId15" Type="http://schemas.openxmlformats.org/officeDocument/2006/relationships/hyperlink" Target="https://login.consultant.ru/link/?req=doc&amp;base=LAW&amp;n=523865&amp;dst=2620" TargetMode="External"/><Relationship Id="rId23" Type="http://schemas.openxmlformats.org/officeDocument/2006/relationships/hyperlink" Target="https://login.consultant.ru/link/?req=doc&amp;base=LAW&amp;n=507498&amp;dst=100052" TargetMode="External"/><Relationship Id="rId10" Type="http://schemas.openxmlformats.org/officeDocument/2006/relationships/hyperlink" Target="https://login.consultant.ru/link/?req=doc&amp;base=LAW&amp;n=518117" TargetMode="External"/><Relationship Id="rId19" Type="http://schemas.openxmlformats.org/officeDocument/2006/relationships/hyperlink" Target="https://login.consultant.ru/link/?req=doc&amp;base=LAW&amp;n=430957" TargetMode="External"/><Relationship Id="rId4" Type="http://schemas.openxmlformats.org/officeDocument/2006/relationships/hyperlink" Target="https://login.consultant.ru/link/?req=doc&amp;base=LAW&amp;n=495710&amp;dst=7868" TargetMode="External"/><Relationship Id="rId9" Type="http://schemas.openxmlformats.org/officeDocument/2006/relationships/hyperlink" Target="https://login.consultant.ru/link/?req=doc&amp;base=LAW&amp;n=513926&amp;dst=8023" TargetMode="External"/><Relationship Id="rId14" Type="http://schemas.openxmlformats.org/officeDocument/2006/relationships/hyperlink" Target="https://login.consultant.ru/link/?req=doc&amp;base=LAW&amp;n=502849" TargetMode="External"/><Relationship Id="rId22" Type="http://schemas.openxmlformats.org/officeDocument/2006/relationships/hyperlink" Target="https://login.consultant.ru/link/?req=doc&amp;base=LAW&amp;n=5139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3221</Words>
  <Characters>18363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Татьяна Васильевна</dc:creator>
  <cp:keywords/>
  <dc:description/>
  <cp:lastModifiedBy>Решетникова Татьяна Васильевна</cp:lastModifiedBy>
  <cp:revision>1</cp:revision>
  <dcterms:created xsi:type="dcterms:W3CDTF">2026-02-19T02:04:00Z</dcterms:created>
  <dcterms:modified xsi:type="dcterms:W3CDTF">2026-02-19T02:06:00Z</dcterms:modified>
</cp:coreProperties>
</file>